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982F5A" w14:textId="77777777" w:rsidR="00DD4DFF" w:rsidRPr="00DD4DFF" w:rsidRDefault="00DD4DFF" w:rsidP="00DD4DFF">
      <w:pPr>
        <w:shd w:val="clear" w:color="auto" w:fill="FFFFFF"/>
        <w:spacing w:before="225" w:after="150" w:line="240" w:lineRule="auto"/>
        <w:outlineLvl w:val="3"/>
        <w:rPr>
          <w:rFonts w:ascii="Georgia" w:eastAsia="Times New Roman" w:hAnsi="Georgia" w:cs="Times New Roman"/>
          <w:b/>
          <w:bCs/>
          <w:color w:val="000000"/>
          <w:sz w:val="24"/>
          <w:szCs w:val="24"/>
          <w:lang w:eastAsia="en-GB"/>
        </w:rPr>
      </w:pPr>
      <w:r w:rsidRPr="00DD4DFF">
        <w:rPr>
          <w:rFonts w:ascii="Georgia" w:eastAsia="Times New Roman" w:hAnsi="Georgia" w:cs="Times New Roman"/>
          <w:b/>
          <w:bCs/>
          <w:color w:val="000000"/>
          <w:sz w:val="24"/>
          <w:szCs w:val="24"/>
          <w:lang w:eastAsia="en-GB"/>
        </w:rPr>
        <w:t>What is a GTA?</w:t>
      </w:r>
    </w:p>
    <w:p w14:paraId="695D4EEF" w14:textId="77777777" w:rsidR="00DD4DFF" w:rsidRPr="00DD4DFF" w:rsidRDefault="00DD4DFF" w:rsidP="00DD4DFF">
      <w:pPr>
        <w:spacing w:after="0" w:line="240" w:lineRule="auto"/>
        <w:rPr>
          <w:rFonts w:ascii="Times New Roman" w:eastAsia="Times New Roman" w:hAnsi="Times New Roman" w:cs="Times New Roman"/>
          <w:sz w:val="24"/>
          <w:szCs w:val="24"/>
          <w:lang w:eastAsia="en-GB"/>
        </w:rPr>
      </w:pPr>
      <w:r w:rsidRPr="00DD4DFF">
        <w:rPr>
          <w:rFonts w:ascii="Arial" w:eastAsia="Times New Roman" w:hAnsi="Arial" w:cs="Arial"/>
          <w:color w:val="000000"/>
          <w:sz w:val="18"/>
          <w:szCs w:val="18"/>
          <w:shd w:val="clear" w:color="auto" w:fill="FFFFFF"/>
          <w:lang w:eastAsia="en-GB"/>
        </w:rPr>
        <w:t>The term Graduate Teaching Assistant or GTA applies to PGR students registered on a doctoral programme who have not formally graduated. All King’s PGR students are employed within the framework of the College’s GTA programme. </w:t>
      </w:r>
      <w:r w:rsidRPr="00DD4DFF">
        <w:rPr>
          <w:rFonts w:ascii="Arial" w:eastAsia="Times New Roman" w:hAnsi="Arial" w:cs="Arial"/>
          <w:color w:val="000000"/>
          <w:sz w:val="18"/>
          <w:szCs w:val="18"/>
          <w:lang w:eastAsia="en-GB"/>
        </w:rPr>
        <w:br/>
      </w:r>
      <w:r w:rsidRPr="00DD4DFF">
        <w:rPr>
          <w:rFonts w:ascii="Arial" w:eastAsia="Times New Roman" w:hAnsi="Arial" w:cs="Arial"/>
          <w:color w:val="000000"/>
          <w:sz w:val="18"/>
          <w:szCs w:val="18"/>
          <w:lang w:eastAsia="en-GB"/>
        </w:rPr>
        <w:br/>
      </w:r>
      <w:bookmarkStart w:id="0" w:name="_GoBack"/>
      <w:r w:rsidRPr="00DD4DFF">
        <w:rPr>
          <w:rFonts w:ascii="Times New Roman" w:eastAsia="Times New Roman" w:hAnsi="Times New Roman" w:cs="Times New Roman"/>
          <w:b/>
          <w:sz w:val="24"/>
          <w:szCs w:val="24"/>
          <w:lang w:eastAsia="en-GB"/>
        </w:rPr>
        <w:t>What is remunerated for 2018/19?</w:t>
      </w:r>
      <w:bookmarkEnd w:id="0"/>
    </w:p>
    <w:tbl>
      <w:tblPr>
        <w:tblW w:w="6105" w:type="dxa"/>
        <w:tblCellMar>
          <w:left w:w="0" w:type="dxa"/>
          <w:right w:w="0" w:type="dxa"/>
        </w:tblCellMar>
        <w:tblLook w:val="04A0" w:firstRow="1" w:lastRow="0" w:firstColumn="1" w:lastColumn="0" w:noHBand="0" w:noVBand="1"/>
      </w:tblPr>
      <w:tblGrid>
        <w:gridCol w:w="2197"/>
        <w:gridCol w:w="3908"/>
      </w:tblGrid>
      <w:tr w:rsidR="00DD4DFF" w:rsidRPr="00DD4DFF" w14:paraId="3FB837D3" w14:textId="77777777" w:rsidTr="00DD4DFF">
        <w:tc>
          <w:tcPr>
            <w:tcW w:w="0" w:type="auto"/>
            <w:tcBorders>
              <w:top w:val="nil"/>
              <w:left w:val="nil"/>
              <w:bottom w:val="single" w:sz="6" w:space="0" w:color="FFFFFF"/>
              <w:right w:val="single" w:sz="6" w:space="0" w:color="FFFFFF"/>
            </w:tcBorders>
            <w:shd w:val="clear" w:color="auto" w:fill="26367D"/>
            <w:tcMar>
              <w:top w:w="120" w:type="dxa"/>
              <w:left w:w="120" w:type="dxa"/>
              <w:bottom w:w="120" w:type="dxa"/>
              <w:right w:w="120" w:type="dxa"/>
            </w:tcMar>
            <w:vAlign w:val="center"/>
            <w:hideMark/>
          </w:tcPr>
          <w:p w14:paraId="3BAA0C5B" w14:textId="77777777" w:rsidR="00DD4DFF" w:rsidRPr="00DD4DFF" w:rsidRDefault="00DD4DFF" w:rsidP="00DD4DFF">
            <w:pPr>
              <w:spacing w:after="0" w:line="240" w:lineRule="auto"/>
              <w:jc w:val="center"/>
              <w:rPr>
                <w:rFonts w:ascii="Times New Roman" w:eastAsia="Times New Roman" w:hAnsi="Times New Roman" w:cs="Times New Roman"/>
                <w:b/>
                <w:bCs/>
                <w:color w:val="FFFFFF"/>
                <w:sz w:val="24"/>
                <w:szCs w:val="24"/>
                <w:lang w:eastAsia="en-GB"/>
              </w:rPr>
            </w:pPr>
            <w:r w:rsidRPr="00DD4DFF">
              <w:rPr>
                <w:rFonts w:ascii="Times New Roman" w:eastAsia="Times New Roman" w:hAnsi="Times New Roman" w:cs="Times New Roman"/>
                <w:b/>
                <w:bCs/>
                <w:color w:val="FFFFFF"/>
                <w:sz w:val="24"/>
                <w:szCs w:val="24"/>
                <w:lang w:eastAsia="en-GB"/>
              </w:rPr>
              <w:t>Teaching</w:t>
            </w:r>
          </w:p>
        </w:tc>
        <w:tc>
          <w:tcPr>
            <w:tcW w:w="0" w:type="auto"/>
            <w:tcBorders>
              <w:top w:val="single" w:sz="6" w:space="0" w:color="FFFFFF"/>
              <w:left w:val="nil"/>
              <w:bottom w:val="nil"/>
              <w:right w:val="single" w:sz="6" w:space="0" w:color="FFFFFF"/>
            </w:tcBorders>
            <w:shd w:val="clear" w:color="auto" w:fill="DEE2E7"/>
            <w:tcMar>
              <w:top w:w="120" w:type="dxa"/>
              <w:left w:w="120" w:type="dxa"/>
              <w:bottom w:w="120" w:type="dxa"/>
              <w:right w:w="120" w:type="dxa"/>
            </w:tcMar>
            <w:vAlign w:val="center"/>
            <w:hideMark/>
          </w:tcPr>
          <w:p w14:paraId="05A8C2B9"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color w:val="000000"/>
                <w:sz w:val="24"/>
                <w:szCs w:val="24"/>
                <w:lang w:eastAsia="en-GB"/>
              </w:rPr>
              <w:t>Actual teaching contact hours or individual tutorials or feedback sessions</w:t>
            </w:r>
          </w:p>
          <w:p w14:paraId="3642E782"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i/>
                <w:iCs/>
                <w:color w:val="000000"/>
                <w:sz w:val="24"/>
                <w:szCs w:val="24"/>
                <w:lang w:eastAsia="en-GB"/>
              </w:rPr>
              <w:t>£17.00 per hour</w:t>
            </w:r>
          </w:p>
        </w:tc>
      </w:tr>
      <w:tr w:rsidR="00DD4DFF" w:rsidRPr="00DD4DFF" w14:paraId="110AE8FE" w14:textId="77777777" w:rsidTr="00DD4DFF">
        <w:tc>
          <w:tcPr>
            <w:tcW w:w="0" w:type="auto"/>
            <w:tcBorders>
              <w:top w:val="nil"/>
              <w:left w:val="nil"/>
              <w:bottom w:val="single" w:sz="6" w:space="0" w:color="FFFFFF"/>
              <w:right w:val="single" w:sz="6" w:space="0" w:color="FFFFFF"/>
            </w:tcBorders>
            <w:shd w:val="clear" w:color="auto" w:fill="26367D"/>
            <w:tcMar>
              <w:top w:w="120" w:type="dxa"/>
              <w:left w:w="120" w:type="dxa"/>
              <w:bottom w:w="120" w:type="dxa"/>
              <w:right w:w="120" w:type="dxa"/>
            </w:tcMar>
            <w:vAlign w:val="center"/>
            <w:hideMark/>
          </w:tcPr>
          <w:p w14:paraId="19426C13" w14:textId="77777777" w:rsidR="00DD4DFF" w:rsidRPr="00DD4DFF" w:rsidRDefault="00DD4DFF" w:rsidP="00DD4DFF">
            <w:pPr>
              <w:spacing w:after="0" w:line="240" w:lineRule="auto"/>
              <w:jc w:val="center"/>
              <w:rPr>
                <w:rFonts w:ascii="Times New Roman" w:eastAsia="Times New Roman" w:hAnsi="Times New Roman" w:cs="Times New Roman"/>
                <w:b/>
                <w:bCs/>
                <w:color w:val="FFFFFF"/>
                <w:sz w:val="24"/>
                <w:szCs w:val="24"/>
                <w:lang w:eastAsia="en-GB"/>
              </w:rPr>
            </w:pPr>
            <w:r w:rsidRPr="00DD4DFF">
              <w:rPr>
                <w:rFonts w:ascii="Times New Roman" w:eastAsia="Times New Roman" w:hAnsi="Times New Roman" w:cs="Times New Roman"/>
                <w:b/>
                <w:bCs/>
                <w:color w:val="FFFFFF"/>
                <w:sz w:val="24"/>
                <w:szCs w:val="24"/>
                <w:lang w:eastAsia="en-GB"/>
              </w:rPr>
              <w:t>Preparation for teaching</w:t>
            </w:r>
          </w:p>
        </w:tc>
        <w:tc>
          <w:tcPr>
            <w:tcW w:w="0" w:type="auto"/>
            <w:tcBorders>
              <w:top w:val="single" w:sz="6" w:space="0" w:color="FFFFFF"/>
              <w:left w:val="nil"/>
              <w:bottom w:val="nil"/>
              <w:right w:val="single" w:sz="6" w:space="0" w:color="FFFFFF"/>
            </w:tcBorders>
            <w:shd w:val="clear" w:color="auto" w:fill="DEE2E7"/>
            <w:tcMar>
              <w:top w:w="120" w:type="dxa"/>
              <w:left w:w="120" w:type="dxa"/>
              <w:bottom w:w="120" w:type="dxa"/>
              <w:right w:w="120" w:type="dxa"/>
            </w:tcMar>
            <w:vAlign w:val="center"/>
            <w:hideMark/>
          </w:tcPr>
          <w:p w14:paraId="2438E740"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color w:val="000000"/>
                <w:sz w:val="24"/>
                <w:szCs w:val="24"/>
                <w:lang w:eastAsia="en-GB"/>
              </w:rPr>
              <w:t>2:1 ratio for preparation for each hour of teaching per module per week. Payment will not be given for repeat occurrences.</w:t>
            </w:r>
          </w:p>
          <w:p w14:paraId="360C4DA1"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i/>
                <w:iCs/>
                <w:color w:val="000000"/>
                <w:sz w:val="24"/>
                <w:szCs w:val="24"/>
                <w:lang w:eastAsia="en-GB"/>
              </w:rPr>
              <w:t>£17.00 per hour</w:t>
            </w:r>
          </w:p>
        </w:tc>
      </w:tr>
      <w:tr w:rsidR="00DD4DFF" w:rsidRPr="00DD4DFF" w14:paraId="53F7A95B" w14:textId="77777777" w:rsidTr="00DD4DFF">
        <w:tc>
          <w:tcPr>
            <w:tcW w:w="0" w:type="auto"/>
            <w:tcBorders>
              <w:top w:val="nil"/>
              <w:left w:val="nil"/>
              <w:bottom w:val="single" w:sz="6" w:space="0" w:color="FFFFFF"/>
              <w:right w:val="single" w:sz="6" w:space="0" w:color="FFFFFF"/>
            </w:tcBorders>
            <w:shd w:val="clear" w:color="auto" w:fill="26367D"/>
            <w:tcMar>
              <w:top w:w="120" w:type="dxa"/>
              <w:left w:w="120" w:type="dxa"/>
              <w:bottom w:w="120" w:type="dxa"/>
              <w:right w:w="120" w:type="dxa"/>
            </w:tcMar>
            <w:vAlign w:val="center"/>
            <w:hideMark/>
          </w:tcPr>
          <w:p w14:paraId="6A990108" w14:textId="77777777" w:rsidR="00DD4DFF" w:rsidRPr="00DD4DFF" w:rsidRDefault="00DD4DFF" w:rsidP="00DD4DFF">
            <w:pPr>
              <w:spacing w:after="0" w:line="240" w:lineRule="auto"/>
              <w:jc w:val="center"/>
              <w:rPr>
                <w:rFonts w:ascii="Times New Roman" w:eastAsia="Times New Roman" w:hAnsi="Times New Roman" w:cs="Times New Roman"/>
                <w:b/>
                <w:bCs/>
                <w:color w:val="FFFFFF"/>
                <w:sz w:val="24"/>
                <w:szCs w:val="24"/>
                <w:lang w:eastAsia="en-GB"/>
              </w:rPr>
            </w:pPr>
            <w:r w:rsidRPr="00DD4DFF">
              <w:rPr>
                <w:rFonts w:ascii="Times New Roman" w:eastAsia="Times New Roman" w:hAnsi="Times New Roman" w:cs="Times New Roman"/>
                <w:b/>
                <w:bCs/>
                <w:color w:val="FFFFFF"/>
                <w:sz w:val="24"/>
                <w:szCs w:val="24"/>
                <w:lang w:eastAsia="en-GB"/>
              </w:rPr>
              <w:t>Marking essays including written feedback</w:t>
            </w:r>
          </w:p>
        </w:tc>
        <w:tc>
          <w:tcPr>
            <w:tcW w:w="0" w:type="auto"/>
            <w:tcBorders>
              <w:top w:val="single" w:sz="6" w:space="0" w:color="FFFFFF"/>
              <w:left w:val="nil"/>
              <w:bottom w:val="nil"/>
              <w:right w:val="single" w:sz="6" w:space="0" w:color="FFFFFF"/>
            </w:tcBorders>
            <w:shd w:val="clear" w:color="auto" w:fill="DEE2E7"/>
            <w:tcMar>
              <w:top w:w="120" w:type="dxa"/>
              <w:left w:w="120" w:type="dxa"/>
              <w:bottom w:w="120" w:type="dxa"/>
              <w:right w:w="120" w:type="dxa"/>
            </w:tcMar>
            <w:vAlign w:val="center"/>
            <w:hideMark/>
          </w:tcPr>
          <w:p w14:paraId="0AC988EB"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color w:val="000000"/>
                <w:sz w:val="24"/>
                <w:szCs w:val="24"/>
                <w:lang w:eastAsia="en-GB"/>
              </w:rPr>
              <w:t>4,000 words per hour</w:t>
            </w:r>
          </w:p>
          <w:p w14:paraId="70966042"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i/>
                <w:iCs/>
                <w:color w:val="000000"/>
                <w:sz w:val="24"/>
                <w:szCs w:val="24"/>
                <w:lang w:eastAsia="en-GB"/>
              </w:rPr>
              <w:t>£17.00 per hour</w:t>
            </w:r>
          </w:p>
        </w:tc>
      </w:tr>
      <w:tr w:rsidR="00DD4DFF" w:rsidRPr="00DD4DFF" w14:paraId="36C041CD" w14:textId="77777777" w:rsidTr="00DD4DFF">
        <w:tc>
          <w:tcPr>
            <w:tcW w:w="0" w:type="auto"/>
            <w:tcBorders>
              <w:top w:val="nil"/>
              <w:left w:val="nil"/>
              <w:bottom w:val="single" w:sz="6" w:space="0" w:color="FFFFFF"/>
              <w:right w:val="single" w:sz="6" w:space="0" w:color="FFFFFF"/>
            </w:tcBorders>
            <w:shd w:val="clear" w:color="auto" w:fill="26367D"/>
            <w:tcMar>
              <w:top w:w="120" w:type="dxa"/>
              <w:left w:w="120" w:type="dxa"/>
              <w:bottom w:w="120" w:type="dxa"/>
              <w:right w:w="120" w:type="dxa"/>
            </w:tcMar>
            <w:vAlign w:val="center"/>
            <w:hideMark/>
          </w:tcPr>
          <w:p w14:paraId="5F28D8C1" w14:textId="77777777" w:rsidR="00DD4DFF" w:rsidRPr="00DD4DFF" w:rsidRDefault="00DD4DFF" w:rsidP="00DD4DFF">
            <w:pPr>
              <w:spacing w:after="0" w:line="240" w:lineRule="auto"/>
              <w:jc w:val="center"/>
              <w:rPr>
                <w:rFonts w:ascii="Times New Roman" w:eastAsia="Times New Roman" w:hAnsi="Times New Roman" w:cs="Times New Roman"/>
                <w:b/>
                <w:bCs/>
                <w:color w:val="FFFFFF"/>
                <w:sz w:val="24"/>
                <w:szCs w:val="24"/>
                <w:lang w:eastAsia="en-GB"/>
              </w:rPr>
            </w:pPr>
            <w:r w:rsidRPr="00DD4DFF">
              <w:rPr>
                <w:rFonts w:ascii="Times New Roman" w:eastAsia="Times New Roman" w:hAnsi="Times New Roman" w:cs="Times New Roman"/>
                <w:b/>
                <w:bCs/>
                <w:color w:val="FFFFFF"/>
                <w:sz w:val="24"/>
                <w:szCs w:val="24"/>
                <w:lang w:eastAsia="en-GB"/>
              </w:rPr>
              <w:t>Marking model answer/multiple choice type questions</w:t>
            </w:r>
          </w:p>
        </w:tc>
        <w:tc>
          <w:tcPr>
            <w:tcW w:w="0" w:type="auto"/>
            <w:tcBorders>
              <w:top w:val="single" w:sz="6" w:space="0" w:color="FFFFFF"/>
              <w:left w:val="nil"/>
              <w:bottom w:val="nil"/>
              <w:right w:val="single" w:sz="6" w:space="0" w:color="FFFFFF"/>
            </w:tcBorders>
            <w:shd w:val="clear" w:color="auto" w:fill="DEE2E7"/>
            <w:tcMar>
              <w:top w:w="120" w:type="dxa"/>
              <w:left w:w="120" w:type="dxa"/>
              <w:bottom w:w="120" w:type="dxa"/>
              <w:right w:w="120" w:type="dxa"/>
            </w:tcMar>
            <w:vAlign w:val="center"/>
            <w:hideMark/>
          </w:tcPr>
          <w:p w14:paraId="3D105601"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i/>
                <w:iCs/>
                <w:color w:val="000000"/>
                <w:sz w:val="24"/>
                <w:szCs w:val="24"/>
                <w:lang w:eastAsia="en-GB"/>
              </w:rPr>
              <w:t>£14.91 per hour</w:t>
            </w:r>
          </w:p>
        </w:tc>
      </w:tr>
      <w:tr w:rsidR="00DD4DFF" w:rsidRPr="00DD4DFF" w14:paraId="2AF664DD" w14:textId="77777777" w:rsidTr="00DD4DFF">
        <w:tc>
          <w:tcPr>
            <w:tcW w:w="0" w:type="auto"/>
            <w:tcBorders>
              <w:top w:val="nil"/>
              <w:left w:val="nil"/>
              <w:bottom w:val="single" w:sz="6" w:space="0" w:color="FFFFFF"/>
              <w:right w:val="single" w:sz="6" w:space="0" w:color="FFFFFF"/>
            </w:tcBorders>
            <w:shd w:val="clear" w:color="auto" w:fill="26367D"/>
            <w:tcMar>
              <w:top w:w="120" w:type="dxa"/>
              <w:left w:w="120" w:type="dxa"/>
              <w:bottom w:w="120" w:type="dxa"/>
              <w:right w:w="120" w:type="dxa"/>
            </w:tcMar>
            <w:vAlign w:val="center"/>
            <w:hideMark/>
          </w:tcPr>
          <w:p w14:paraId="08A91C5C" w14:textId="77777777" w:rsidR="00DD4DFF" w:rsidRPr="00DD4DFF" w:rsidRDefault="00DD4DFF" w:rsidP="00DD4DFF">
            <w:pPr>
              <w:spacing w:after="0" w:line="240" w:lineRule="auto"/>
              <w:jc w:val="center"/>
              <w:rPr>
                <w:rFonts w:ascii="Times New Roman" w:eastAsia="Times New Roman" w:hAnsi="Times New Roman" w:cs="Times New Roman"/>
                <w:b/>
                <w:bCs/>
                <w:color w:val="FFFFFF"/>
                <w:sz w:val="24"/>
                <w:szCs w:val="24"/>
                <w:lang w:eastAsia="en-GB"/>
              </w:rPr>
            </w:pPr>
            <w:r w:rsidRPr="00DD4DFF">
              <w:rPr>
                <w:rFonts w:ascii="Times New Roman" w:eastAsia="Times New Roman" w:hAnsi="Times New Roman" w:cs="Times New Roman"/>
                <w:b/>
                <w:bCs/>
                <w:color w:val="FFFFFF"/>
                <w:sz w:val="24"/>
                <w:szCs w:val="24"/>
                <w:lang w:eastAsia="en-GB"/>
              </w:rPr>
              <w:t>Marking exams including written feedback</w:t>
            </w:r>
          </w:p>
        </w:tc>
        <w:tc>
          <w:tcPr>
            <w:tcW w:w="0" w:type="auto"/>
            <w:tcBorders>
              <w:top w:val="single" w:sz="6" w:space="0" w:color="FFFFFF"/>
              <w:left w:val="nil"/>
              <w:bottom w:val="nil"/>
              <w:right w:val="single" w:sz="6" w:space="0" w:color="FFFFFF"/>
            </w:tcBorders>
            <w:shd w:val="clear" w:color="auto" w:fill="DEE2E7"/>
            <w:tcMar>
              <w:top w:w="120" w:type="dxa"/>
              <w:left w:w="120" w:type="dxa"/>
              <w:bottom w:w="120" w:type="dxa"/>
              <w:right w:w="120" w:type="dxa"/>
            </w:tcMar>
            <w:vAlign w:val="center"/>
            <w:hideMark/>
          </w:tcPr>
          <w:p w14:paraId="5AB1A274"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color w:val="000000"/>
                <w:sz w:val="24"/>
                <w:szCs w:val="24"/>
                <w:lang w:eastAsia="en-GB"/>
              </w:rPr>
              <w:t xml:space="preserve">2 x </w:t>
            </w:r>
            <w:proofErr w:type="gramStart"/>
            <w:r w:rsidRPr="00DD4DFF">
              <w:rPr>
                <w:rFonts w:ascii="Times New Roman" w:eastAsia="Times New Roman" w:hAnsi="Times New Roman" w:cs="Times New Roman"/>
                <w:color w:val="000000"/>
                <w:sz w:val="24"/>
                <w:szCs w:val="24"/>
                <w:lang w:eastAsia="en-GB"/>
              </w:rPr>
              <w:t>3 hour</w:t>
            </w:r>
            <w:proofErr w:type="gramEnd"/>
            <w:r w:rsidRPr="00DD4DFF">
              <w:rPr>
                <w:rFonts w:ascii="Times New Roman" w:eastAsia="Times New Roman" w:hAnsi="Times New Roman" w:cs="Times New Roman"/>
                <w:color w:val="000000"/>
                <w:sz w:val="24"/>
                <w:szCs w:val="24"/>
                <w:lang w:eastAsia="en-GB"/>
              </w:rPr>
              <w:t xml:space="preserve"> examinations per hour (other length examinations paid pro rata)</w:t>
            </w:r>
          </w:p>
          <w:p w14:paraId="6BB21C59"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i/>
                <w:iCs/>
                <w:color w:val="000000"/>
                <w:sz w:val="24"/>
                <w:szCs w:val="24"/>
                <w:lang w:eastAsia="en-GB"/>
              </w:rPr>
              <w:t>£17.00 per hour</w:t>
            </w:r>
          </w:p>
        </w:tc>
      </w:tr>
      <w:tr w:rsidR="00DD4DFF" w:rsidRPr="00DD4DFF" w14:paraId="123929A1" w14:textId="77777777" w:rsidTr="00DD4DFF">
        <w:tc>
          <w:tcPr>
            <w:tcW w:w="0" w:type="auto"/>
            <w:tcBorders>
              <w:top w:val="nil"/>
              <w:left w:val="nil"/>
              <w:bottom w:val="single" w:sz="6" w:space="0" w:color="FFFFFF"/>
              <w:right w:val="single" w:sz="6" w:space="0" w:color="FFFFFF"/>
            </w:tcBorders>
            <w:shd w:val="clear" w:color="auto" w:fill="26367D"/>
            <w:tcMar>
              <w:top w:w="120" w:type="dxa"/>
              <w:left w:w="120" w:type="dxa"/>
              <w:bottom w:w="120" w:type="dxa"/>
              <w:right w:w="120" w:type="dxa"/>
            </w:tcMar>
            <w:vAlign w:val="center"/>
            <w:hideMark/>
          </w:tcPr>
          <w:p w14:paraId="498846BB" w14:textId="77777777" w:rsidR="00DD4DFF" w:rsidRPr="00DD4DFF" w:rsidRDefault="00DD4DFF" w:rsidP="00DD4DFF">
            <w:pPr>
              <w:spacing w:after="0" w:line="240" w:lineRule="auto"/>
              <w:jc w:val="center"/>
              <w:rPr>
                <w:rFonts w:ascii="Times New Roman" w:eastAsia="Times New Roman" w:hAnsi="Times New Roman" w:cs="Times New Roman"/>
                <w:b/>
                <w:bCs/>
                <w:color w:val="FFFFFF"/>
                <w:sz w:val="24"/>
                <w:szCs w:val="24"/>
                <w:lang w:eastAsia="en-GB"/>
              </w:rPr>
            </w:pPr>
            <w:r w:rsidRPr="00DD4DFF">
              <w:rPr>
                <w:rFonts w:ascii="Times New Roman" w:eastAsia="Times New Roman" w:hAnsi="Times New Roman" w:cs="Times New Roman"/>
                <w:b/>
                <w:bCs/>
                <w:color w:val="FFFFFF"/>
                <w:sz w:val="24"/>
                <w:szCs w:val="24"/>
                <w:lang w:eastAsia="en-GB"/>
              </w:rPr>
              <w:t>Office hours </w:t>
            </w:r>
          </w:p>
        </w:tc>
        <w:tc>
          <w:tcPr>
            <w:tcW w:w="0" w:type="auto"/>
            <w:tcBorders>
              <w:top w:val="single" w:sz="6" w:space="0" w:color="FFFFFF"/>
              <w:left w:val="nil"/>
              <w:bottom w:val="nil"/>
              <w:right w:val="single" w:sz="6" w:space="0" w:color="FFFFFF"/>
            </w:tcBorders>
            <w:shd w:val="clear" w:color="auto" w:fill="DEE2E7"/>
            <w:tcMar>
              <w:top w:w="120" w:type="dxa"/>
              <w:left w:w="120" w:type="dxa"/>
              <w:bottom w:w="120" w:type="dxa"/>
              <w:right w:w="120" w:type="dxa"/>
            </w:tcMar>
            <w:vAlign w:val="center"/>
            <w:hideMark/>
          </w:tcPr>
          <w:p w14:paraId="0C0E429D"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color w:val="000000"/>
                <w:sz w:val="24"/>
                <w:szCs w:val="24"/>
                <w:lang w:eastAsia="en-GB"/>
              </w:rPr>
              <w:t>One hour a week, including catch-up / revision week</w:t>
            </w:r>
          </w:p>
          <w:p w14:paraId="1A1E29E0"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i/>
                <w:iCs/>
                <w:color w:val="000000"/>
                <w:sz w:val="24"/>
                <w:szCs w:val="24"/>
                <w:lang w:eastAsia="en-GB"/>
              </w:rPr>
              <w:t>£17.00 per hour</w:t>
            </w:r>
          </w:p>
        </w:tc>
      </w:tr>
      <w:tr w:rsidR="00DD4DFF" w:rsidRPr="00DD4DFF" w14:paraId="29FD031B" w14:textId="77777777" w:rsidTr="00DD4DFF">
        <w:tc>
          <w:tcPr>
            <w:tcW w:w="0" w:type="auto"/>
            <w:tcBorders>
              <w:top w:val="nil"/>
              <w:left w:val="nil"/>
              <w:bottom w:val="single" w:sz="6" w:space="0" w:color="FFFFFF"/>
              <w:right w:val="single" w:sz="6" w:space="0" w:color="FFFFFF"/>
            </w:tcBorders>
            <w:shd w:val="clear" w:color="auto" w:fill="26367D"/>
            <w:tcMar>
              <w:top w:w="120" w:type="dxa"/>
              <w:left w:w="120" w:type="dxa"/>
              <w:bottom w:w="120" w:type="dxa"/>
              <w:right w:w="120" w:type="dxa"/>
            </w:tcMar>
            <w:vAlign w:val="center"/>
            <w:hideMark/>
          </w:tcPr>
          <w:p w14:paraId="35FEC242" w14:textId="77777777" w:rsidR="00DD4DFF" w:rsidRPr="00DD4DFF" w:rsidRDefault="00DD4DFF" w:rsidP="00DD4DFF">
            <w:pPr>
              <w:spacing w:after="0" w:line="240" w:lineRule="auto"/>
              <w:jc w:val="center"/>
              <w:rPr>
                <w:rFonts w:ascii="Times New Roman" w:eastAsia="Times New Roman" w:hAnsi="Times New Roman" w:cs="Times New Roman"/>
                <w:b/>
                <w:bCs/>
                <w:color w:val="FFFFFF"/>
                <w:sz w:val="24"/>
                <w:szCs w:val="24"/>
                <w:lang w:eastAsia="en-GB"/>
              </w:rPr>
            </w:pPr>
            <w:r w:rsidRPr="00DD4DFF">
              <w:rPr>
                <w:rFonts w:ascii="Times New Roman" w:eastAsia="Times New Roman" w:hAnsi="Times New Roman" w:cs="Times New Roman"/>
                <w:b/>
                <w:bCs/>
                <w:color w:val="FFFFFF"/>
                <w:sz w:val="24"/>
                <w:szCs w:val="24"/>
                <w:lang w:eastAsia="en-GB"/>
              </w:rPr>
              <w:t>Training</w:t>
            </w:r>
          </w:p>
        </w:tc>
        <w:tc>
          <w:tcPr>
            <w:tcW w:w="0" w:type="auto"/>
            <w:tcBorders>
              <w:top w:val="single" w:sz="6" w:space="0" w:color="FFFFFF"/>
              <w:left w:val="nil"/>
              <w:bottom w:val="nil"/>
              <w:right w:val="single" w:sz="6" w:space="0" w:color="FFFFFF"/>
            </w:tcBorders>
            <w:shd w:val="clear" w:color="auto" w:fill="DEE2E7"/>
            <w:tcMar>
              <w:top w:w="120" w:type="dxa"/>
              <w:left w:w="120" w:type="dxa"/>
              <w:bottom w:w="120" w:type="dxa"/>
              <w:right w:w="120" w:type="dxa"/>
            </w:tcMar>
            <w:vAlign w:val="center"/>
            <w:hideMark/>
          </w:tcPr>
          <w:p w14:paraId="096F1D5F"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color w:val="000000"/>
                <w:sz w:val="24"/>
                <w:szCs w:val="24"/>
                <w:lang w:eastAsia="en-GB"/>
              </w:rPr>
              <w:t>Attendance at mandatory College, Faculty and Department training. </w:t>
            </w:r>
          </w:p>
          <w:p w14:paraId="06C66C41"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i/>
                <w:iCs/>
                <w:color w:val="000000"/>
                <w:sz w:val="24"/>
                <w:szCs w:val="24"/>
                <w:lang w:eastAsia="en-GB"/>
              </w:rPr>
              <w:t>£17.00 per hour</w:t>
            </w:r>
          </w:p>
          <w:p w14:paraId="0533A992" w14:textId="77777777" w:rsidR="00DD4DFF" w:rsidRPr="00DD4DFF" w:rsidRDefault="00DD4DFF" w:rsidP="00DD4DFF">
            <w:pPr>
              <w:spacing w:after="0" w:line="252" w:lineRule="atLeast"/>
              <w:rPr>
                <w:rFonts w:ascii="Times New Roman" w:eastAsia="Times New Roman" w:hAnsi="Times New Roman" w:cs="Times New Roman"/>
                <w:color w:val="000000"/>
                <w:sz w:val="24"/>
                <w:szCs w:val="24"/>
                <w:lang w:eastAsia="en-GB"/>
              </w:rPr>
            </w:pPr>
            <w:r w:rsidRPr="00DD4DFF">
              <w:rPr>
                <w:rFonts w:ascii="Times New Roman" w:eastAsia="Times New Roman" w:hAnsi="Times New Roman" w:cs="Times New Roman"/>
                <w:color w:val="000000"/>
                <w:sz w:val="24"/>
                <w:szCs w:val="24"/>
                <w:lang w:eastAsia="en-GB"/>
              </w:rPr>
              <w:t xml:space="preserve">NOTE: Optional training for professional development is not remunerated. GTAs are paid appropriate to the level of responsibility as defined in the National Pay Framework, and should get the same rate of pay for the same level of work. </w:t>
            </w:r>
            <w:proofErr w:type="gramStart"/>
            <w:r w:rsidRPr="00DD4DFF">
              <w:rPr>
                <w:rFonts w:ascii="Times New Roman" w:eastAsia="Times New Roman" w:hAnsi="Times New Roman" w:cs="Times New Roman"/>
                <w:color w:val="000000"/>
                <w:sz w:val="24"/>
                <w:szCs w:val="24"/>
                <w:lang w:eastAsia="en-GB"/>
              </w:rPr>
              <w:t>Thus</w:t>
            </w:r>
            <w:proofErr w:type="gramEnd"/>
            <w:r w:rsidRPr="00DD4DFF">
              <w:rPr>
                <w:rFonts w:ascii="Times New Roman" w:eastAsia="Times New Roman" w:hAnsi="Times New Roman" w:cs="Times New Roman"/>
                <w:color w:val="000000"/>
                <w:sz w:val="24"/>
                <w:szCs w:val="24"/>
                <w:lang w:eastAsia="en-GB"/>
              </w:rPr>
              <w:t xml:space="preserve"> it is a point of principle that as far as possible parity is ensured in terms of the volume of work GTAs undertake for an hour's </w:t>
            </w:r>
            <w:r w:rsidRPr="00DD4DFF">
              <w:rPr>
                <w:rFonts w:ascii="Times New Roman" w:eastAsia="Times New Roman" w:hAnsi="Times New Roman" w:cs="Times New Roman"/>
                <w:color w:val="000000"/>
                <w:sz w:val="24"/>
                <w:szCs w:val="24"/>
                <w:lang w:eastAsia="en-GB"/>
              </w:rPr>
              <w:lastRenderedPageBreak/>
              <w:t>pay. GTAs should not receive increments if they teach for more than one year, since career progression is not the purpose of the GTA scheme</w:t>
            </w:r>
          </w:p>
        </w:tc>
      </w:tr>
    </w:tbl>
    <w:p w14:paraId="6A6CFE12" w14:textId="77777777" w:rsidR="00DD4DFF" w:rsidRPr="00DD4DFF" w:rsidRDefault="00DD4DFF" w:rsidP="00DD4DFF">
      <w:pPr>
        <w:shd w:val="clear" w:color="auto" w:fill="FFFFFF"/>
        <w:spacing w:after="0" w:line="252" w:lineRule="atLeast"/>
        <w:rPr>
          <w:rFonts w:ascii="Arial" w:eastAsia="Times New Roman" w:hAnsi="Arial" w:cs="Arial"/>
          <w:color w:val="000000"/>
          <w:sz w:val="18"/>
          <w:szCs w:val="18"/>
          <w:lang w:eastAsia="en-GB"/>
        </w:rPr>
      </w:pPr>
      <w:r w:rsidRPr="00DD4DFF">
        <w:rPr>
          <w:rFonts w:ascii="Arial" w:eastAsia="Times New Roman" w:hAnsi="Arial" w:cs="Arial"/>
          <w:color w:val="000000"/>
          <w:sz w:val="18"/>
          <w:szCs w:val="18"/>
          <w:lang w:eastAsia="en-GB"/>
        </w:rPr>
        <w:lastRenderedPageBreak/>
        <w:br/>
        <w:t>Under current legislation all casual workers are entitled to holiday pay (set at the hourly rate), calculated on the total number of hours worked.</w:t>
      </w:r>
    </w:p>
    <w:p w14:paraId="725BDB84" w14:textId="77777777" w:rsidR="00DD4DFF" w:rsidRPr="00DD4DFF" w:rsidRDefault="00DD4DFF" w:rsidP="00DD4DFF">
      <w:pPr>
        <w:shd w:val="clear" w:color="auto" w:fill="FFFFFF"/>
        <w:spacing w:after="150" w:line="252" w:lineRule="atLeast"/>
        <w:rPr>
          <w:rFonts w:ascii="Arial" w:eastAsia="Times New Roman" w:hAnsi="Arial" w:cs="Arial"/>
          <w:color w:val="000000"/>
          <w:sz w:val="18"/>
          <w:szCs w:val="18"/>
          <w:lang w:eastAsia="en-GB"/>
        </w:rPr>
      </w:pPr>
      <w:r w:rsidRPr="00DD4DFF">
        <w:rPr>
          <w:rFonts w:ascii="Arial" w:eastAsia="Times New Roman" w:hAnsi="Arial" w:cs="Arial"/>
          <w:b/>
          <w:bCs/>
          <w:color w:val="000000"/>
          <w:sz w:val="18"/>
          <w:szCs w:val="18"/>
          <w:lang w:eastAsia="en-GB"/>
        </w:rPr>
        <w:t>NOTE:</w:t>
      </w:r>
      <w:r w:rsidRPr="00DD4DFF">
        <w:rPr>
          <w:rFonts w:ascii="Arial" w:eastAsia="Times New Roman" w:hAnsi="Arial" w:cs="Arial"/>
          <w:color w:val="000000"/>
          <w:sz w:val="18"/>
          <w:szCs w:val="18"/>
          <w:lang w:eastAsia="en-GB"/>
        </w:rPr>
        <w:t> GTAs are not paid for any professional development opportunities afforded them by the College (including meetings following peer observation), Faculty or their department. It should also be noted that the College does not reimburse travel to work expense, or between sites.</w:t>
      </w:r>
    </w:p>
    <w:p w14:paraId="4D8D4FDF" w14:textId="77777777" w:rsidR="00A14FED" w:rsidRDefault="00A14FED"/>
    <w:sectPr w:rsidR="00A14F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6339D0"/>
    <w:multiLevelType w:val="multilevel"/>
    <w:tmpl w:val="37A2C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34B4711"/>
    <w:multiLevelType w:val="multilevel"/>
    <w:tmpl w:val="14683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32256E5"/>
    <w:multiLevelType w:val="multilevel"/>
    <w:tmpl w:val="B268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2AB"/>
    <w:rsid w:val="004F201B"/>
    <w:rsid w:val="005242AB"/>
    <w:rsid w:val="00A14FED"/>
    <w:rsid w:val="00DD4D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633BC"/>
  <w15:chartTrackingRefBased/>
  <w15:docId w15:val="{19CE7D13-BC3A-43DA-A751-9CD639050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2653660">
      <w:bodyDiv w:val="1"/>
      <w:marLeft w:val="0"/>
      <w:marRight w:val="0"/>
      <w:marTop w:val="0"/>
      <w:marBottom w:val="0"/>
      <w:divBdr>
        <w:top w:val="none" w:sz="0" w:space="0" w:color="auto"/>
        <w:left w:val="none" w:sz="0" w:space="0" w:color="auto"/>
        <w:bottom w:val="none" w:sz="0" w:space="0" w:color="auto"/>
        <w:right w:val="none" w:sz="0" w:space="0" w:color="auto"/>
      </w:divBdr>
      <w:divsChild>
        <w:div w:id="1606183907">
          <w:marLeft w:val="0"/>
          <w:marRight w:val="0"/>
          <w:marTop w:val="0"/>
          <w:marBottom w:val="150"/>
          <w:divBdr>
            <w:top w:val="single" w:sz="6" w:space="8" w:color="DEE2E7"/>
            <w:left w:val="single" w:sz="6" w:space="6" w:color="DEE2E7"/>
            <w:bottom w:val="single" w:sz="6" w:space="8" w:color="DEE2E7"/>
            <w:right w:val="single" w:sz="6" w:space="6" w:color="DEE2E7"/>
          </w:divBdr>
        </w:div>
      </w:divsChild>
    </w:div>
    <w:div w:id="1127358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2</Pages>
  <Words>289</Words>
  <Characters>1650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Herrerias Rodriguez, Consuelo</dc:creator>
  <cp:keywords/>
  <dc:description/>
  <cp:lastModifiedBy>Herrerias Rodriguez, Consuelo</cp:lastModifiedBy>
  <cp:revision>1</cp:revision>
  <dcterms:created xsi:type="dcterms:W3CDTF">2018-02-07T11:04:00Z</dcterms:created>
  <dcterms:modified xsi:type="dcterms:W3CDTF">2018-02-07T13:39:00Z</dcterms:modified>
</cp:coreProperties>
</file>